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DB01C">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pacing w:val="-34"/>
          <w:sz w:val="44"/>
          <w:szCs w:val="44"/>
          <w:lang w:val="en-US" w:eastAsia="zh-CN"/>
        </w:rPr>
      </w:pPr>
      <w:r>
        <w:rPr>
          <w:rFonts w:hint="eastAsia" w:ascii="方正小标宋简体" w:hAnsi="方正小标宋简体" w:eastAsia="方正小标宋简体" w:cs="方正小标宋简体"/>
          <w:spacing w:val="-34"/>
          <w:sz w:val="44"/>
          <w:szCs w:val="44"/>
          <w:lang w:val="en-US" w:eastAsia="zh-CN"/>
        </w:rPr>
        <w:t>河北邢台高新技术产业开发区（邢东新区）管理委员会</w:t>
      </w:r>
    </w:p>
    <w:p w14:paraId="3631680B">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pacing w:val="-28"/>
          <w:sz w:val="44"/>
          <w:szCs w:val="44"/>
          <w:lang w:val="en-US" w:eastAsia="zh-CN"/>
        </w:rPr>
      </w:pPr>
      <w:r>
        <w:rPr>
          <w:rFonts w:hint="eastAsia" w:ascii="方正小标宋简体" w:hAnsi="方正小标宋简体" w:eastAsia="方正小标宋简体" w:cs="方正小标宋简体"/>
          <w:spacing w:val="-28"/>
          <w:sz w:val="44"/>
          <w:szCs w:val="44"/>
          <w:lang w:val="en-US" w:eastAsia="zh-CN"/>
        </w:rPr>
        <w:t>2025年度法治建设工作报告</w:t>
      </w:r>
    </w:p>
    <w:p w14:paraId="67F2F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14:paraId="54617BDD">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年，在市委、市政府的坚强领导下，邢台高新技术产业开发区（邢东新区）（以下简称“高新区”）以习近平新时代中国特色社会主义思想为指导，</w:t>
      </w:r>
      <w:r>
        <w:rPr>
          <w:rFonts w:hint="eastAsia" w:ascii="仿宋_GB2312" w:hAnsi="仿宋_GB2312" w:eastAsia="仿宋_GB2312" w:cs="仿宋_GB2312"/>
          <w:sz w:val="32"/>
          <w:szCs w:val="32"/>
          <w:lang w:val="en-US" w:eastAsia="zh-CN"/>
        </w:rPr>
        <w:t>全面贯彻落实习近平法治思想及党的二十届四中全会精神、党中央关于全面依法治国的决策部署，</w:t>
      </w:r>
      <w:r>
        <w:rPr>
          <w:rFonts w:hint="eastAsia" w:ascii="仿宋_GB2312" w:hAnsi="仿宋_GB2312" w:eastAsia="仿宋_GB2312" w:cs="仿宋_GB2312"/>
          <w:color w:val="000000"/>
          <w:sz w:val="32"/>
          <w:szCs w:val="32"/>
        </w:rPr>
        <w:t>认真贯彻落实省委、市委各项部署要求，全面推进高新区法治建设工作，切实把法治政府建设落到实处。</w:t>
      </w:r>
    </w:p>
    <w:p w14:paraId="719CD9C1">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一、加强组织领导，推进法治政府建设</w:t>
      </w:r>
    </w:p>
    <w:p w14:paraId="1101E7CA">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为全面推进高新区法治政府建设工作，高新区管委会结合实际，</w:t>
      </w:r>
      <w:r>
        <w:rPr>
          <w:rFonts w:hint="eastAsia" w:ascii="仿宋_GB2312" w:hAnsi="仿宋_GB2312" w:eastAsia="仿宋_GB2312" w:cs="仿宋_GB2312"/>
          <w:sz w:val="32"/>
          <w:szCs w:val="32"/>
          <w:lang w:val="en-US" w:eastAsia="zh-CN"/>
        </w:rPr>
        <w:t>始终坚持依法行政、依法履职，确保将法治建设贯穿工作始终</w:t>
      </w:r>
      <w:r>
        <w:rPr>
          <w:rFonts w:hint="eastAsia" w:ascii="仿宋_GB2312" w:hAnsi="仿宋_GB2312" w:eastAsia="仿宋_GB2312" w:cs="仿宋_GB2312"/>
          <w:color w:val="000000"/>
          <w:sz w:val="32"/>
          <w:szCs w:val="32"/>
        </w:rPr>
        <w:t>。管委会主要负责同志切实发挥领导作用，认真履行推进法治政府建设第一责任人职责，加强党对法治政府建设的领导，压实工作责任，统筹谋划，把法治建设的各项要求落实到高新区日常业务工作中。结合高新区发展实际，及时调整法治政府建设工作</w:t>
      </w:r>
      <w:r>
        <w:rPr>
          <w:rFonts w:hint="eastAsia" w:ascii="仿宋_GB2312" w:hAnsi="仿宋_GB2312" w:eastAsia="仿宋_GB2312" w:cs="仿宋_GB2312"/>
          <w:color w:val="000000"/>
          <w:sz w:val="32"/>
          <w:szCs w:val="32"/>
          <w:lang w:val="en-US" w:eastAsia="zh-CN"/>
        </w:rPr>
        <w:t>内容</w:t>
      </w:r>
      <w:r>
        <w:rPr>
          <w:rFonts w:hint="eastAsia" w:ascii="仿宋_GB2312" w:hAnsi="仿宋_GB2312" w:eastAsia="仿宋_GB2312" w:cs="仿宋_GB2312"/>
          <w:color w:val="000000"/>
          <w:sz w:val="32"/>
          <w:szCs w:val="32"/>
        </w:rPr>
        <w:t>，明确工作任务，不断推进法治政府工作的执行落实，坚持做到把法治政府建设和高新区建设发展同规划、同部署、同落实，切实做到有计划、有实施，责任明确，扎实见效。同时，认真落实法治政府建设年度报告制度，每年定期向市委、市政府报告上一年度法治政府建设情况，并在</w:t>
      </w:r>
      <w:r>
        <w:rPr>
          <w:rFonts w:hint="eastAsia" w:ascii="仿宋_GB2312" w:hAnsi="仿宋_GB2312" w:eastAsia="仿宋_GB2312" w:cs="仿宋_GB2312"/>
          <w:color w:val="000000"/>
          <w:sz w:val="32"/>
          <w:szCs w:val="32"/>
          <w:lang w:val="en-US" w:eastAsia="zh-CN"/>
        </w:rPr>
        <w:t>市政府</w:t>
      </w:r>
      <w:r>
        <w:rPr>
          <w:rFonts w:hint="eastAsia" w:ascii="仿宋_GB2312" w:hAnsi="仿宋_GB2312" w:eastAsia="仿宋_GB2312" w:cs="仿宋_GB2312"/>
          <w:color w:val="000000"/>
          <w:sz w:val="32"/>
          <w:szCs w:val="32"/>
        </w:rPr>
        <w:t>官网发布。</w:t>
      </w:r>
    </w:p>
    <w:p w14:paraId="6FF3E8F1">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加强思想引领，筑牢法治防线</w:t>
      </w:r>
    </w:p>
    <w:p w14:paraId="5F20EB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高新区把学习贯彻党的二十大精神和二十届三中全会精神与习近平法治思想作为首要政治任务，坚持用党的创新理论武装头脑、指导实践，推动法治政府建设向纵深发展。</w:t>
      </w:r>
      <w:r>
        <w:rPr>
          <w:rFonts w:hint="eastAsia" w:ascii="仿宋_GB2312" w:hAnsi="仿宋_GB2312" w:eastAsia="仿宋_GB2312" w:cs="仿宋_GB2312"/>
          <w:sz w:val="32"/>
          <w:szCs w:val="32"/>
          <w:lang w:val="en-US" w:eastAsia="zh-CN"/>
        </w:rPr>
        <w:t>一是领导干部带头学法。今年以来，领导干部带头深入学习研讨习近平法治思想及有关法律法规规章制度5次，结合个人自学清单，定期选配参考书籍，常学常新、活学活用，牢固树立法治思维，真正把学习成果转化为指导实践、推动工作的强大力量。二是全体机关干部深入学。将习近平法治思想、宪法、民法典、党章、谈治国理政等相关内容纳入党支部每月集中学习清单，今年以来开展学法研讨6次，</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有效提高干部职工的法治观念和法律素质。</w:t>
      </w:r>
      <w:r>
        <w:rPr>
          <w:rFonts w:hint="eastAsia" w:ascii="仿宋_GB2312" w:hAnsi="仿宋_GB2312" w:eastAsia="仿宋_GB2312" w:cs="仿宋_GB2312"/>
          <w:sz w:val="32"/>
          <w:szCs w:val="32"/>
          <w:lang w:val="en-US" w:eastAsia="zh-CN"/>
        </w:rPr>
        <w:t>三是普法宣传专题学。</w:t>
      </w:r>
      <w:r>
        <w:rPr>
          <w:rFonts w:hint="eastAsia" w:ascii="仿宋_GB2312" w:hAnsi="仿宋_GB2312" w:eastAsia="仿宋_GB2312" w:cs="仿宋_GB2312"/>
          <w:kern w:val="2"/>
          <w:sz w:val="32"/>
          <w:szCs w:val="40"/>
          <w:highlight w:val="none"/>
          <w:lang w:val="en-US" w:eastAsia="zh-CN" w:bidi="ar-SA"/>
        </w:rPr>
        <w:t>全面贯彻落实党的二十大和党的二十届历次全会精神，深入学习宣传贯彻习近平法治思想，大力加强宪法宣传教育，弘扬宪法精神，维护宪法权威，推动宪法全面贯彻实施，为进一步全面深化改革、推进中国式现代化营造良好法治环境。</w:t>
      </w:r>
    </w:p>
    <w:p w14:paraId="579A0C52">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健全监督机制，强化行政权力制约和监督</w:t>
      </w:r>
    </w:p>
    <w:p w14:paraId="7633377A">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sz w:val="32"/>
          <w:szCs w:val="32"/>
          <w:highlight w:val="none"/>
        </w:rPr>
      </w:pPr>
      <w:r>
        <w:rPr>
          <w:rFonts w:hint="eastAsia" w:ascii="楷体" w:hAnsi="楷体" w:eastAsia="楷体" w:cs="楷体"/>
          <w:color w:val="000000"/>
          <w:sz w:val="32"/>
          <w:szCs w:val="32"/>
        </w:rPr>
        <w:t>一是不断健全权力运行制约和监督机制</w:t>
      </w:r>
      <w:r>
        <w:rPr>
          <w:rFonts w:hint="eastAsia" w:ascii="楷体" w:hAnsi="楷体" w:eastAsia="楷体" w:cs="楷体"/>
          <w:color w:val="000000"/>
          <w:sz w:val="32"/>
          <w:szCs w:val="32"/>
          <w:lang w:eastAsia="zh-CN"/>
        </w:rPr>
        <w:t>。</w:t>
      </w:r>
      <w:r>
        <w:rPr>
          <w:rFonts w:hint="eastAsia" w:ascii="仿宋_GB2312" w:hAnsi="仿宋_GB2312" w:eastAsia="仿宋_GB2312" w:cs="仿宋_GB2312"/>
          <w:color w:val="000000"/>
          <w:sz w:val="32"/>
          <w:szCs w:val="32"/>
        </w:rPr>
        <w:t>以制约和监督权力运行为核心，强化对各</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办、局、中心权力运行的监管，落实重大行政决策和规范性文件制定机制，明确议事清单及流程，督促全体干部严格依法行政，规范重要事项执行程序流程，逐步理顺各项业务流程，使高新区各项业务制度化、标准化、规范化，保证</w:t>
      </w:r>
      <w:r>
        <w:rPr>
          <w:rFonts w:hint="eastAsia" w:ascii="仿宋_GB2312" w:hAnsi="仿宋_GB2312" w:eastAsia="仿宋_GB2312" w:cs="仿宋_GB2312"/>
          <w:color w:val="000000"/>
          <w:sz w:val="32"/>
          <w:szCs w:val="32"/>
          <w:highlight w:val="none"/>
        </w:rPr>
        <w:t>过程公开、公平、公正。</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深入</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开展“12345政务服务便民热线”，进一步提高热线办理工作质量和工作效率，让热线真正成为政府的“放心线”、群众的“暖心线”。2025年共接受理工</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单5729件，均已按时办结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深入推进政务公开。切实发挥政府网站作为政府信息发布的主阵地以及政民互动主平台的作用，推动法治政府建设全面提质增效。聚焦重点工作</w:t>
      </w:r>
      <w:r>
        <w:rPr>
          <w:rFonts w:hint="eastAsia" w:ascii="仿宋_GB2312" w:hAnsi="仿宋_GB2312" w:eastAsia="仿宋_GB2312" w:cs="仿宋_GB2312"/>
          <w:b w:val="0"/>
          <w:i w:val="0"/>
          <w:spacing w:val="0"/>
          <w:kern w:val="2"/>
          <w:sz w:val="32"/>
          <w:szCs w:val="32"/>
          <w:highlight w:val="none"/>
          <w:lang w:val="en-US" w:eastAsia="zh-CN" w:bidi="ar-SA"/>
        </w:rPr>
        <w:t>任务，</w:t>
      </w:r>
      <w:r>
        <w:rPr>
          <w:rFonts w:hint="eastAsia" w:ascii="仿宋_GB2312" w:hAnsi="仿宋_GB2312" w:eastAsia="仿宋_GB2312" w:cs="仿宋_GB2312"/>
          <w:sz w:val="32"/>
          <w:szCs w:val="32"/>
          <w:highlight w:val="none"/>
          <w:lang w:val="en-US" w:eastAsia="zh-CN"/>
        </w:rPr>
        <w:t>共更新门户网站各类信息119余条，公开信息138余条，</w:t>
      </w:r>
      <w:r>
        <w:rPr>
          <w:rFonts w:hint="eastAsia" w:ascii="仿宋_GB2312" w:hAnsi="仿宋_GB2312" w:eastAsia="仿宋_GB2312" w:cs="仿宋_GB2312"/>
          <w:b w:val="0"/>
          <w:i w:val="0"/>
          <w:spacing w:val="0"/>
          <w:kern w:val="2"/>
          <w:sz w:val="32"/>
          <w:szCs w:val="32"/>
          <w:highlight w:val="none"/>
          <w:lang w:val="en-US" w:eastAsia="zh-CN" w:bidi="ar-SA"/>
        </w:rPr>
        <w:t>提高群众对行政决策的参与度；收到依申请公开政务信息10件，均已回复办妥；</w:t>
      </w:r>
      <w:r>
        <w:rPr>
          <w:rFonts w:hint="eastAsia" w:ascii="仿宋_GB2312" w:hAnsi="仿宋_GB2312" w:eastAsia="仿宋_GB2312" w:cs="仿宋_GB2312"/>
          <w:sz w:val="32"/>
          <w:szCs w:val="32"/>
          <w:highlight w:val="none"/>
          <w:lang w:val="en-US" w:eastAsia="zh-CN"/>
        </w:rPr>
        <w:t>排查网站信息1500余条，发现错误信息均立即推送相</w:t>
      </w:r>
      <w:r>
        <w:rPr>
          <w:rFonts w:hint="eastAsia" w:ascii="仿宋_GB2312" w:hAnsi="仿宋_GB2312" w:eastAsia="仿宋_GB2312" w:cs="仿宋_GB2312"/>
          <w:color w:val="auto"/>
          <w:sz w:val="32"/>
          <w:szCs w:val="32"/>
          <w:lang w:val="en-US" w:eastAsia="zh-CN"/>
        </w:rPr>
        <w:t>关单位，及时整改到位，</w:t>
      </w:r>
      <w:r>
        <w:rPr>
          <w:rFonts w:hint="eastAsia" w:ascii="仿宋_GB2312" w:hAnsi="仿宋_GB2312" w:eastAsia="仿宋_GB2312" w:cs="仿宋_GB2312"/>
          <w:color w:val="000000"/>
          <w:kern w:val="2"/>
          <w:sz w:val="32"/>
          <w:szCs w:val="32"/>
          <w:shd w:val="clear" w:color="auto" w:fill="FFFFFF"/>
          <w:lang w:val="en-US" w:eastAsia="zh-CN" w:bidi="ar"/>
        </w:rPr>
        <w:t>营造了政务信息公开透明的良好氛围。</w:t>
      </w:r>
    </w:p>
    <w:p w14:paraId="67F09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highlight w:val="none"/>
        </w:rPr>
        <w:t>二是</w:t>
      </w:r>
      <w:r>
        <w:rPr>
          <w:rFonts w:hint="eastAsia" w:ascii="楷体" w:hAnsi="楷体" w:eastAsia="楷体" w:cs="楷体"/>
          <w:color w:val="000000"/>
          <w:sz w:val="32"/>
          <w:szCs w:val="32"/>
          <w:highlight w:val="none"/>
          <w:lang w:val="en-US" w:eastAsia="zh-CN"/>
        </w:rPr>
        <w:t>加强</w:t>
      </w:r>
      <w:r>
        <w:rPr>
          <w:rFonts w:hint="eastAsia" w:ascii="楷体" w:hAnsi="楷体" w:eastAsia="楷体" w:cs="楷体"/>
          <w:color w:val="000000"/>
          <w:sz w:val="32"/>
          <w:szCs w:val="32"/>
          <w:highlight w:val="none"/>
        </w:rPr>
        <w:t>重点领域和关键环节进行重点风险排查</w:t>
      </w:r>
      <w:r>
        <w:rPr>
          <w:rFonts w:hint="eastAsia" w:ascii="楷体" w:hAnsi="楷体" w:eastAsia="楷体" w:cs="楷体"/>
          <w:color w:val="000000"/>
          <w:sz w:val="32"/>
          <w:szCs w:val="32"/>
          <w:highlight w:val="none"/>
          <w:lang w:eastAsia="zh-CN"/>
        </w:rPr>
        <w:t>。</w:t>
      </w:r>
      <w:r>
        <w:rPr>
          <w:rFonts w:hint="eastAsia" w:ascii="仿宋_GB2312" w:hAnsi="仿宋_GB2312" w:eastAsia="仿宋_GB2312" w:cs="仿宋_GB2312"/>
          <w:color w:val="000000"/>
          <w:sz w:val="32"/>
          <w:szCs w:val="32"/>
          <w:highlight w:val="none"/>
        </w:rPr>
        <w:t>从高新区工作实际和特点出发，对重大资金安排、专项资金使用、重大项目审批、政府采购项目、干部人事管理等重点领域和关键环节进行重点风险排查，针对存在的风险点，及时分析研究，找准痛点，对症下药，研究完善防控措施。同时，深入开展廉政风险防控工作，建立完善纪检防控机制</w:t>
      </w:r>
      <w:r>
        <w:rPr>
          <w:rFonts w:hint="eastAsia" w:ascii="仿宋_GB2312" w:hAnsi="仿宋_GB2312" w:eastAsia="仿宋_GB2312" w:cs="仿宋_GB2312"/>
          <w:color w:val="000000"/>
          <w:sz w:val="32"/>
          <w:szCs w:val="32"/>
          <w:lang w:val="en-US" w:eastAsia="zh-CN"/>
        </w:rPr>
        <w:t>。针对重大招商项目事项，严格执行“党工委前置研究”机制，所有涉及土地出让、资金安排等关键决策必须提交党工委会议集体研究决定，确保决策程序合法合规。在项目签约环节，建立“单位联审+法律把关”双核查机制，相关职能部门联合审查合同条款，同时要求法律顾问全程参与，重点对权利义务、履约风险等提出专业意见，形成书面审查报告作为签约前置条件，从源头防范法律纠纷。</w:t>
      </w:r>
    </w:p>
    <w:p w14:paraId="47D0D35C">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rPr>
        <w:t>三是健全完善内部管理制度和监督机制。</w:t>
      </w:r>
      <w:r>
        <w:rPr>
          <w:rFonts w:hint="eastAsia" w:ascii="仿宋_GB2312" w:hAnsi="仿宋_GB2312" w:eastAsia="仿宋_GB2312" w:cs="仿宋_GB2312"/>
          <w:color w:val="000000"/>
          <w:sz w:val="32"/>
          <w:szCs w:val="32"/>
        </w:rPr>
        <w:t>高新区坚持用制度管权管事管人，</w:t>
      </w:r>
      <w:r>
        <w:rPr>
          <w:rFonts w:hint="eastAsia" w:ascii="仿宋_GB2312" w:hAnsi="仿宋_GB2312" w:eastAsia="仿宋_GB2312" w:cs="仿宋_GB2312"/>
          <w:color w:val="000000"/>
          <w:sz w:val="32"/>
          <w:szCs w:val="32"/>
          <w:lang w:val="en-US" w:eastAsia="zh-CN"/>
        </w:rPr>
        <w:t>加强对财政预算编制、执行、调整和决算等全过程的监督，确保财政资金安全规范高效使用。</w:t>
      </w:r>
      <w:r>
        <w:rPr>
          <w:rFonts w:hint="eastAsia" w:ascii="仿宋_GB2312" w:hAnsi="仿宋_GB2312" w:eastAsia="仿宋_GB2312" w:cs="仿宋_GB2312"/>
          <w:color w:val="000000"/>
          <w:sz w:val="32"/>
          <w:szCs w:val="32"/>
        </w:rPr>
        <w:t>以建章立制促进作风建设常态化、长效化，规范做好公务接待、公务用车、内部审计、工会经费以及差旅费报销等工作。同时，规范合同审查程序，防范合同风险和减少纠纷，确保资产、财政资金安全。此外，还建立健全日常作风和工作纪律督查机制，推进完善内部检查督查方案和计划，切实把各项制度的落实和纪律的执行贯穿于日常工作，对出现的问题进行责任追究。</w:t>
      </w:r>
    </w:p>
    <w:p w14:paraId="4260962A">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严格规范执法，提升行政执法质量</w:t>
      </w:r>
    </w:p>
    <w:p w14:paraId="2184724B">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法治政府建设实施纲要（2021—2025年）》及省、市法治政府建设工作要求，高新区严格落实全面依法治市工作要点，推进法治政府建设，推进依法行政，严格规范公正文明执法。紧紧围绕高新区发展目标，充分发挥岗位职能，不断改进工作方法。推进行政执法质量三年行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依托襄都区执法平台，</w:t>
      </w:r>
      <w:r>
        <w:rPr>
          <w:rFonts w:hint="eastAsia" w:ascii="仿宋_GB2312" w:hAnsi="仿宋_GB2312" w:eastAsia="仿宋_GB2312" w:cs="仿宋_GB2312"/>
          <w:color w:val="000000"/>
          <w:sz w:val="32"/>
          <w:szCs w:val="32"/>
          <w:lang w:val="en-US" w:eastAsia="zh-CN"/>
        </w:rPr>
        <w:t>督促</w:t>
      </w:r>
      <w:r>
        <w:rPr>
          <w:rFonts w:hint="eastAsia" w:ascii="仿宋_GB2312" w:hAnsi="仿宋_GB2312" w:eastAsia="仿宋_GB2312" w:cs="仿宋_GB2312"/>
          <w:color w:val="000000"/>
          <w:sz w:val="32"/>
          <w:szCs w:val="32"/>
        </w:rPr>
        <w:t>镇办申报执法证件。</w:t>
      </w:r>
      <w:r>
        <w:rPr>
          <w:rFonts w:hint="eastAsia" w:ascii="仿宋_GB2312" w:hAnsi="仿宋_GB2312" w:eastAsia="仿宋_GB2312" w:cs="仿宋_GB2312"/>
          <w:color w:val="000000"/>
          <w:sz w:val="32"/>
          <w:szCs w:val="32"/>
          <w:lang w:val="en-US" w:eastAsia="zh-CN"/>
        </w:rPr>
        <w:t>推动行政执法三项制度落实，开展</w:t>
      </w:r>
      <w:r>
        <w:rPr>
          <w:rFonts w:hint="eastAsia" w:ascii="仿宋_GB2312" w:hAnsi="仿宋_GB2312" w:eastAsia="仿宋_GB2312" w:cs="仿宋_GB2312"/>
          <w:color w:val="000000"/>
          <w:sz w:val="32"/>
          <w:szCs w:val="32"/>
        </w:rPr>
        <w:t>行政执法和行政执法监督一体化平台</w:t>
      </w:r>
      <w:r>
        <w:rPr>
          <w:rFonts w:hint="eastAsia" w:ascii="仿宋_GB2312" w:hAnsi="仿宋_GB2312" w:eastAsia="仿宋_GB2312" w:cs="仿宋_GB2312"/>
          <w:color w:val="000000"/>
          <w:sz w:val="32"/>
          <w:szCs w:val="32"/>
          <w:lang w:val="en-US" w:eastAsia="zh-CN"/>
        </w:rPr>
        <w:t>培训学习录入工作，强化网上监督。坚持“入企扫码”制度，公开、透明、规范化执法检查，构筑拦截多头执法、重复检查、随意检查的“堤坝”，助力法治化营商环境建设。组织全区执法部门和镇办执法队开展为期3天的习近平法治思想教育培训，发放三项制度政策法规，对执法公示、执法记录要求等文件进行学习，推进我区法治建设、为促进经济社会高质量发展提供有力支撑。</w:t>
      </w:r>
    </w:p>
    <w:p w14:paraId="7E41F88C">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加强法治宣传，全面提高法治观念</w:t>
      </w:r>
    </w:p>
    <w:p w14:paraId="53F97E70">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为使法治宣传工作深入人心，高新区组织开展形式多样的宣传活动。通</w:t>
      </w:r>
      <w:r>
        <w:rPr>
          <w:rFonts w:hint="eastAsia" w:ascii="仿宋_GB2312" w:hAnsi="仿宋_GB2312" w:eastAsia="仿宋_GB2312" w:cs="仿宋_GB2312"/>
          <w:color w:val="000000"/>
          <w:sz w:val="32"/>
          <w:szCs w:val="32"/>
          <w:lang w:val="en-US" w:eastAsia="zh-CN"/>
        </w:rPr>
        <w:t>过</w:t>
      </w:r>
      <w:r>
        <w:rPr>
          <w:rFonts w:hint="eastAsia" w:ascii="仿宋_GB2312" w:hAnsi="仿宋_GB2312" w:eastAsia="仿宋_GB2312" w:cs="仿宋_GB2312"/>
          <w:color w:val="000000"/>
          <w:sz w:val="32"/>
          <w:szCs w:val="32"/>
        </w:rPr>
        <w:t>高新区官方公众号，借力新媒体新技术，丰富方式方法，及时更新发布相关信息，</w:t>
      </w:r>
      <w:r>
        <w:rPr>
          <w:rFonts w:hint="eastAsia" w:ascii="仿宋_GB2312" w:hAnsi="仿宋_GB2312" w:eastAsia="仿宋_GB2312" w:cs="仿宋_GB2312"/>
          <w:color w:val="000000"/>
          <w:sz w:val="32"/>
          <w:szCs w:val="32"/>
          <w:highlight w:val="none"/>
        </w:rPr>
        <w:t>切实提高</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普法宣传的针对</w:t>
      </w:r>
      <w:r>
        <w:rPr>
          <w:rFonts w:hint="eastAsia" w:ascii="仿宋_GB2312" w:hAnsi="仿宋_GB2312" w:eastAsia="仿宋_GB2312" w:cs="仿宋_GB2312"/>
          <w:color w:val="000000"/>
          <w:sz w:val="32"/>
          <w:szCs w:val="32"/>
        </w:rPr>
        <w:t>性和实效性。同时，加强线下宣传教育工作，在高新区重点区域设置户外大型广告牌法治建设宣传专版，悬挂创建文明高新区宣传标语条幅，发放创文通知文件和教育宣传资料，营造了浓厚的法治氛围。</w:t>
      </w:r>
      <w:r>
        <w:rPr>
          <w:rFonts w:hint="eastAsia" w:ascii="仿宋_GB2312" w:hAnsi="仿宋_GB2312" w:eastAsia="仿宋_GB2312" w:cs="仿宋_GB2312"/>
          <w:color w:val="000000"/>
          <w:sz w:val="32"/>
          <w:szCs w:val="32"/>
          <w:lang w:val="zh-CN"/>
        </w:rPr>
        <w:t>今年以来，</w:t>
      </w:r>
      <w:r>
        <w:rPr>
          <w:rFonts w:hint="eastAsia" w:ascii="仿宋_GB2312" w:hAnsi="仿宋_GB2312" w:eastAsia="仿宋_GB2312" w:cs="仿宋_GB2312"/>
          <w:color w:val="000000"/>
          <w:sz w:val="32"/>
          <w:szCs w:val="32"/>
          <w:lang w:val="en-US" w:eastAsia="zh-CN"/>
        </w:rPr>
        <w:t>按照2025年全市普法依法治理工作要点</w:t>
      </w:r>
      <w:r>
        <w:rPr>
          <w:rFonts w:hint="eastAsia" w:ascii="仿宋_GB2312" w:hAnsi="仿宋_GB2312" w:eastAsia="仿宋_GB2312" w:cs="仿宋_GB2312"/>
          <w:color w:val="000000"/>
          <w:sz w:val="32"/>
          <w:szCs w:val="32"/>
          <w:lang w:val="zh-CN"/>
        </w:rPr>
        <w:t>先后组织开展</w:t>
      </w:r>
      <w:r>
        <w:rPr>
          <w:rFonts w:hint="eastAsia" w:ascii="仿宋_GB2312" w:hAnsi="仿宋_GB2312" w:eastAsia="仿宋_GB2312" w:cs="仿宋_GB2312"/>
          <w:b w:val="0"/>
          <w:bCs w:val="0"/>
          <w:color w:val="000000"/>
          <w:sz w:val="32"/>
          <w:szCs w:val="32"/>
          <w:lang w:val="en-US" w:eastAsia="zh-CN"/>
        </w:rPr>
        <w:t>2025年国家宪法日暨“宪法宣传周”活动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“民法典宣传月”活动、“每月一主题”普法宣传</w:t>
      </w:r>
      <w:r>
        <w:rPr>
          <w:rFonts w:hint="eastAsia" w:ascii="仿宋_GB2312" w:hAnsi="仿宋_GB2312" w:eastAsia="仿宋_GB2312" w:cs="仿宋_GB2312"/>
          <w:color w:val="000000"/>
          <w:sz w:val="32"/>
          <w:szCs w:val="32"/>
          <w:lang w:val="en-US" w:eastAsia="zh-CN"/>
        </w:rPr>
        <w:t>等。落实村（居）法律顾问和“法律明白人”合作机制，促使“法律明白人”的培训更加常态化，法治素养明显提升，作用发挥更加明显，为</w:t>
      </w:r>
      <w:r>
        <w:rPr>
          <w:rFonts w:hint="eastAsia" w:ascii="仿宋_GB2312" w:hAnsi="仿宋_GB2312" w:eastAsia="仿宋_GB2312" w:cs="仿宋_GB2312"/>
          <w:color w:val="auto"/>
          <w:sz w:val="32"/>
          <w:szCs w:val="32"/>
          <w:highlight w:val="none"/>
          <w:lang w:val="en-US" w:eastAsia="zh-CN"/>
        </w:rPr>
        <w:t>高新区法治化环</w:t>
      </w:r>
      <w:r>
        <w:rPr>
          <w:rFonts w:hint="eastAsia" w:ascii="仿宋_GB2312" w:hAnsi="仿宋_GB2312" w:eastAsia="仿宋_GB2312" w:cs="仿宋_GB2312"/>
          <w:color w:val="000000"/>
          <w:sz w:val="32"/>
          <w:szCs w:val="32"/>
          <w:lang w:val="en-US" w:eastAsia="zh-CN"/>
        </w:rPr>
        <w:t>境提供保障。</w:t>
      </w:r>
      <w:bookmarkStart w:id="0" w:name="_GoBack"/>
      <w:bookmarkEnd w:id="0"/>
    </w:p>
    <w:sectPr>
      <w:headerReference r:id="rId4" w:type="first"/>
      <w:headerReference r:id="rId3" w:type="default"/>
      <w:footerReference r:id="rId5" w:type="default"/>
      <w:pgSz w:w="11906" w:h="16838"/>
      <w:pgMar w:top="2154" w:right="1531" w:bottom="1984" w:left="1531"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713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99B3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99B3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B7AD">
    <w:pPr>
      <w:pStyle w:val="7"/>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4509">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2ViNjg4N2MwZTY4OGYwODMzYjcxNDRlMTM2MTkifQ=="/>
  </w:docVars>
  <w:rsids>
    <w:rsidRoot w:val="00000000"/>
    <w:rsid w:val="007D19C9"/>
    <w:rsid w:val="00B01F53"/>
    <w:rsid w:val="00F841D9"/>
    <w:rsid w:val="023F1CB1"/>
    <w:rsid w:val="032C0E35"/>
    <w:rsid w:val="052A1FE6"/>
    <w:rsid w:val="05914A6B"/>
    <w:rsid w:val="083207A4"/>
    <w:rsid w:val="08CD2677"/>
    <w:rsid w:val="08CE1BF9"/>
    <w:rsid w:val="0A012E98"/>
    <w:rsid w:val="0A2423D4"/>
    <w:rsid w:val="0BC11EE9"/>
    <w:rsid w:val="0D78355C"/>
    <w:rsid w:val="0E976DD9"/>
    <w:rsid w:val="0F253E15"/>
    <w:rsid w:val="11BE0A9D"/>
    <w:rsid w:val="128E22ED"/>
    <w:rsid w:val="12EA6C1E"/>
    <w:rsid w:val="1809481E"/>
    <w:rsid w:val="1A7F44B0"/>
    <w:rsid w:val="1A830831"/>
    <w:rsid w:val="1B246A08"/>
    <w:rsid w:val="1BB66201"/>
    <w:rsid w:val="1C735482"/>
    <w:rsid w:val="1D545C87"/>
    <w:rsid w:val="1DFF4E6C"/>
    <w:rsid w:val="1ED738DC"/>
    <w:rsid w:val="2048785D"/>
    <w:rsid w:val="21470C8B"/>
    <w:rsid w:val="226C3AF4"/>
    <w:rsid w:val="22DF73CD"/>
    <w:rsid w:val="255E0F94"/>
    <w:rsid w:val="269C1317"/>
    <w:rsid w:val="26E82431"/>
    <w:rsid w:val="28371E49"/>
    <w:rsid w:val="28D7264F"/>
    <w:rsid w:val="295E09DF"/>
    <w:rsid w:val="2B8C02B0"/>
    <w:rsid w:val="2DD536C3"/>
    <w:rsid w:val="2EE44FA4"/>
    <w:rsid w:val="2F737BA6"/>
    <w:rsid w:val="301917A7"/>
    <w:rsid w:val="30D55107"/>
    <w:rsid w:val="36A4755E"/>
    <w:rsid w:val="3AB20ECD"/>
    <w:rsid w:val="3E344619"/>
    <w:rsid w:val="3E5661DC"/>
    <w:rsid w:val="41BE30E4"/>
    <w:rsid w:val="45113347"/>
    <w:rsid w:val="48703113"/>
    <w:rsid w:val="48C011CA"/>
    <w:rsid w:val="494F1069"/>
    <w:rsid w:val="4B731DA8"/>
    <w:rsid w:val="4C9F7273"/>
    <w:rsid w:val="51234641"/>
    <w:rsid w:val="51764AF1"/>
    <w:rsid w:val="530C4081"/>
    <w:rsid w:val="53C42AB6"/>
    <w:rsid w:val="54DA789F"/>
    <w:rsid w:val="58617EF0"/>
    <w:rsid w:val="5B6D7CDE"/>
    <w:rsid w:val="5CA33348"/>
    <w:rsid w:val="5D0E4615"/>
    <w:rsid w:val="5D9E2E5D"/>
    <w:rsid w:val="605F3AC7"/>
    <w:rsid w:val="60956D42"/>
    <w:rsid w:val="62221814"/>
    <w:rsid w:val="62CC46F2"/>
    <w:rsid w:val="65266C47"/>
    <w:rsid w:val="653843D8"/>
    <w:rsid w:val="656B2ED4"/>
    <w:rsid w:val="682E5386"/>
    <w:rsid w:val="687B7594"/>
    <w:rsid w:val="696E797F"/>
    <w:rsid w:val="6A85112C"/>
    <w:rsid w:val="6AD14E1A"/>
    <w:rsid w:val="6B2F471C"/>
    <w:rsid w:val="6C6448C0"/>
    <w:rsid w:val="6CB243D2"/>
    <w:rsid w:val="6DEF3C51"/>
    <w:rsid w:val="6FED23F9"/>
    <w:rsid w:val="70E903CF"/>
    <w:rsid w:val="71826054"/>
    <w:rsid w:val="71FA2BF4"/>
    <w:rsid w:val="732D5446"/>
    <w:rsid w:val="740D4B55"/>
    <w:rsid w:val="740E4F5E"/>
    <w:rsid w:val="769D5FFD"/>
    <w:rsid w:val="76B36A39"/>
    <w:rsid w:val="77E51D53"/>
    <w:rsid w:val="78FB12B4"/>
    <w:rsid w:val="791F6BD0"/>
    <w:rsid w:val="7CC1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5">
    <w:name w:val="Normal Indent"/>
    <w:basedOn w:val="1"/>
    <w:qFormat/>
    <w:uiPriority w:val="0"/>
    <w:pPr>
      <w:widowControl w:val="0"/>
      <w:spacing w:after="0"/>
      <w:ind w:firstLine="420"/>
      <w:jc w:val="both"/>
    </w:pPr>
    <w:rPr>
      <w:rFonts w:ascii="Times New Roman" w:hAnsi="Times New Roman" w:eastAsia="宋体" w:cs="Times New Roman"/>
      <w:kern w:val="2"/>
      <w:sz w:val="21"/>
      <w:lang w:val="en-US" w:eastAsia="zh-CN"/>
    </w:rPr>
  </w:style>
  <w:style w:type="paragraph" w:styleId="6">
    <w:name w:val="Body Text"/>
    <w:basedOn w:val="1"/>
    <w:next w:val="7"/>
    <w:qFormat/>
    <w:uiPriority w:val="0"/>
    <w:pPr>
      <w:spacing w:after="120" w:afterLines="0"/>
    </w:pPr>
    <w:rPr>
      <w:rFonts w:ascii="Times New Roman" w:hAnsi="Times New Roman" w:eastAsia="宋体" w:cs="Times New Roman"/>
      <w:szCs w:val="20"/>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Quote"/>
    <w:basedOn w:val="1"/>
    <w:next w:val="1"/>
    <w:qFormat/>
    <w:uiPriority w:val="0"/>
    <w:pPr>
      <w:ind w:left="864" w:right="864"/>
      <w:jc w:val="center"/>
    </w:pPr>
    <w:rPr>
      <w:i/>
      <w:iCs/>
      <w:color w:val="000000"/>
    </w:rPr>
  </w:style>
  <w:style w:type="paragraph" w:styleId="9">
    <w:name w:val="footer"/>
    <w:basedOn w:val="1"/>
    <w:next w:val="5"/>
    <w:qFormat/>
    <w:uiPriority w:val="0"/>
    <w:pPr>
      <w:snapToGrid w:val="0"/>
      <w:jc w:val="left"/>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BodyText1I2"/>
    <w:basedOn w:val="15"/>
    <w:qFormat/>
    <w:uiPriority w:val="0"/>
    <w:pPr>
      <w:ind w:firstLine="420"/>
    </w:pPr>
    <w:rPr>
      <w:rFonts w:ascii="Calibri"/>
      <w:sz w:val="21"/>
    </w:rPr>
  </w:style>
  <w:style w:type="paragraph" w:customStyle="1" w:styleId="15">
    <w:name w:val="BodyTextIndent"/>
    <w:basedOn w:val="1"/>
    <w:qFormat/>
    <w:uiPriority w:val="0"/>
    <w:pPr>
      <w:spacing w:line="844" w:lineRule="atLeast"/>
      <w:ind w:firstLine="629"/>
    </w:pPr>
    <w:rPr>
      <w:rFonts w:ascii="Times New Roman" w:eastAsia="楷体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3203</Words>
  <Characters>3250</Characters>
  <Lines>0</Lines>
  <Paragraphs>0</Paragraphs>
  <TotalTime>0</TotalTime>
  <ScaleCrop>false</ScaleCrop>
  <LinksUpToDate>false</LinksUpToDate>
  <CharactersWithSpaces>3250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2022-05-24T01:32:00Z</dcterms:created>
  <dc:creator>Administrator</dc:creator>
  <cp:lastModifiedBy>箜婧子</cp:lastModifiedBy>
  <cp:lastPrinted>2025-02-25T03:58:00Z</cp:lastPrinted>
  <dcterms:modified xsi:type="dcterms:W3CDTF">2026-03-24T00:48:10Z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39E0C6330AD24E29A593C2783E84B967</vt:lpwstr>
  </property>
  <property fmtid="{D5CDD505-2E9C-101B-9397-08002B2CF9AE}" pid="4" name="KSOTemplateDocerSaveRecord">
    <vt:lpwstr>eyJoZGlkIjoiODZhMTdiYmQ4MzE5NTc4N2FmYzE2YmI5NWZhNzE5ZjciLCJ1c2VySWQiOiI5MTMwNjQ2NTYifQ==</vt:lpwstr>
  </property>
</Properties>
</file>